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A4E57">
      <w:pPr>
        <w:spacing w:line="48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 w14:paraId="1F6C8BEC">
      <w:pPr>
        <w:spacing w:line="480" w:lineRule="exact"/>
        <w:rPr>
          <w:rFonts w:hint="eastAsia" w:ascii="黑体" w:eastAsia="黑体" w:cs="黑体"/>
          <w:sz w:val="32"/>
          <w:szCs w:val="32"/>
        </w:rPr>
      </w:pPr>
    </w:p>
    <w:p w14:paraId="635B0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内蒙古自治区本级政府投资非经营性项目代建中心</w:t>
      </w:r>
    </w:p>
    <w:p w14:paraId="6C317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招标代理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服务收费标准</w:t>
      </w:r>
    </w:p>
    <w:p w14:paraId="45ECE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tbl>
      <w:tblPr>
        <w:tblStyle w:val="3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1814"/>
        <w:gridCol w:w="1814"/>
        <w:gridCol w:w="1814"/>
      </w:tblGrid>
      <w:tr w14:paraId="6D36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49" w:type="dxa"/>
            <w:noWrap w:val="0"/>
            <w:vAlign w:val="center"/>
            <mc:AlternateContent>
              <mc:Choice Requires="wpsCustomData">
                <wpsCustomData:diagonals>
                  <wpsCustomData:diagonal from="15100" to="30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3A5520C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 w14:paraId="012A307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 w14:paraId="2103362A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中标金额（万元）</w:t>
            </w:r>
          </w:p>
          <w:p w14:paraId="3795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 w14:paraId="5EC8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 w14:paraId="2032FBB6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费率</w:t>
            </w:r>
          </w:p>
          <w:p w14:paraId="0CDAE9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 w14:paraId="66F204D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1814" w:type="dxa"/>
            <w:noWrap w:val="0"/>
            <w:vAlign w:val="center"/>
          </w:tcPr>
          <w:p w14:paraId="094E173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工程</w:t>
            </w:r>
          </w:p>
        </w:tc>
        <w:tc>
          <w:tcPr>
            <w:tcW w:w="1814" w:type="dxa"/>
            <w:noWrap w:val="0"/>
            <w:vAlign w:val="center"/>
          </w:tcPr>
          <w:p w14:paraId="3FEC164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货物</w:t>
            </w:r>
          </w:p>
        </w:tc>
        <w:tc>
          <w:tcPr>
            <w:tcW w:w="1814" w:type="dxa"/>
            <w:noWrap w:val="0"/>
            <w:vAlign w:val="center"/>
          </w:tcPr>
          <w:p w14:paraId="17116DB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服务</w:t>
            </w:r>
          </w:p>
        </w:tc>
      </w:tr>
      <w:tr w14:paraId="68D2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9" w:type="dxa"/>
            <w:noWrap w:val="0"/>
            <w:vAlign w:val="center"/>
          </w:tcPr>
          <w:p w14:paraId="7D3D81D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500以下（含500）</w:t>
            </w:r>
          </w:p>
        </w:tc>
        <w:tc>
          <w:tcPr>
            <w:tcW w:w="1814" w:type="dxa"/>
            <w:noWrap w:val="0"/>
            <w:vAlign w:val="center"/>
          </w:tcPr>
          <w:p w14:paraId="7C6E1B2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1.2%</w:t>
            </w:r>
          </w:p>
        </w:tc>
        <w:tc>
          <w:tcPr>
            <w:tcW w:w="1814" w:type="dxa"/>
            <w:noWrap w:val="0"/>
            <w:vAlign w:val="center"/>
          </w:tcPr>
          <w:p w14:paraId="5FAE9E2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1.5%</w:t>
            </w:r>
          </w:p>
        </w:tc>
        <w:tc>
          <w:tcPr>
            <w:tcW w:w="1814" w:type="dxa"/>
            <w:noWrap w:val="0"/>
            <w:vAlign w:val="center"/>
          </w:tcPr>
          <w:p w14:paraId="2B7BD52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1.5%</w:t>
            </w:r>
          </w:p>
        </w:tc>
      </w:tr>
      <w:tr w14:paraId="6E5C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9" w:type="dxa"/>
            <w:noWrap w:val="0"/>
            <w:vAlign w:val="center"/>
          </w:tcPr>
          <w:p w14:paraId="24BE877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500-1000（含1000）</w:t>
            </w:r>
          </w:p>
        </w:tc>
        <w:tc>
          <w:tcPr>
            <w:tcW w:w="1814" w:type="dxa"/>
            <w:noWrap w:val="0"/>
            <w:vAlign w:val="center"/>
          </w:tcPr>
          <w:p w14:paraId="066919A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0.8%</w:t>
            </w:r>
          </w:p>
        </w:tc>
        <w:tc>
          <w:tcPr>
            <w:tcW w:w="1814" w:type="dxa"/>
            <w:noWrap w:val="0"/>
            <w:vAlign w:val="center"/>
          </w:tcPr>
          <w:p w14:paraId="3C4C975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0.8%</w:t>
            </w:r>
          </w:p>
        </w:tc>
        <w:tc>
          <w:tcPr>
            <w:tcW w:w="1814" w:type="dxa"/>
            <w:noWrap w:val="0"/>
            <w:vAlign w:val="center"/>
          </w:tcPr>
          <w:p w14:paraId="28873CB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</w:tr>
      <w:tr w14:paraId="4D4B1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9" w:type="dxa"/>
            <w:noWrap w:val="0"/>
            <w:vAlign w:val="center"/>
          </w:tcPr>
          <w:p w14:paraId="7ABB370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1000-5000（含5000）</w:t>
            </w:r>
          </w:p>
        </w:tc>
        <w:tc>
          <w:tcPr>
            <w:tcW w:w="1814" w:type="dxa"/>
            <w:noWrap w:val="0"/>
            <w:vAlign w:val="center"/>
          </w:tcPr>
          <w:p w14:paraId="4AF18A9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814" w:type="dxa"/>
            <w:noWrap w:val="0"/>
            <w:vAlign w:val="center"/>
          </w:tcPr>
          <w:p w14:paraId="63DAACA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0.5%</w:t>
            </w:r>
          </w:p>
        </w:tc>
        <w:tc>
          <w:tcPr>
            <w:tcW w:w="1814" w:type="dxa"/>
            <w:noWrap w:val="0"/>
            <w:vAlign w:val="center"/>
          </w:tcPr>
          <w:p w14:paraId="3A291EE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0.3%</w:t>
            </w:r>
          </w:p>
        </w:tc>
      </w:tr>
      <w:tr w14:paraId="401C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9" w:type="dxa"/>
            <w:noWrap w:val="0"/>
            <w:vAlign w:val="center"/>
          </w:tcPr>
          <w:p w14:paraId="325DE23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5000-10000（含10000）</w:t>
            </w:r>
          </w:p>
        </w:tc>
        <w:tc>
          <w:tcPr>
            <w:tcW w:w="1814" w:type="dxa"/>
            <w:noWrap w:val="0"/>
            <w:vAlign w:val="center"/>
          </w:tcPr>
          <w:p w14:paraId="400C988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0.3%</w:t>
            </w:r>
          </w:p>
        </w:tc>
        <w:tc>
          <w:tcPr>
            <w:tcW w:w="1814" w:type="dxa"/>
            <w:noWrap w:val="0"/>
            <w:vAlign w:val="center"/>
          </w:tcPr>
          <w:p w14:paraId="28DB209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0.25%</w:t>
            </w:r>
          </w:p>
        </w:tc>
        <w:tc>
          <w:tcPr>
            <w:tcW w:w="1814" w:type="dxa"/>
            <w:noWrap w:val="0"/>
            <w:vAlign w:val="center"/>
          </w:tcPr>
          <w:p w14:paraId="5560E7E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0.1%</w:t>
            </w:r>
          </w:p>
        </w:tc>
      </w:tr>
      <w:tr w14:paraId="6451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9" w:type="dxa"/>
            <w:noWrap w:val="0"/>
            <w:vAlign w:val="center"/>
          </w:tcPr>
          <w:p w14:paraId="7B9164F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10000-50000（含50000）</w:t>
            </w:r>
          </w:p>
        </w:tc>
        <w:tc>
          <w:tcPr>
            <w:tcW w:w="1814" w:type="dxa"/>
            <w:noWrap w:val="0"/>
            <w:vAlign w:val="center"/>
          </w:tcPr>
          <w:p w14:paraId="3EA3EFA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0.1%</w:t>
            </w:r>
          </w:p>
        </w:tc>
        <w:tc>
          <w:tcPr>
            <w:tcW w:w="1814" w:type="dxa"/>
            <w:noWrap w:val="0"/>
            <w:vAlign w:val="center"/>
          </w:tcPr>
          <w:p w14:paraId="7E26197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0.1%</w:t>
            </w:r>
          </w:p>
        </w:tc>
        <w:tc>
          <w:tcPr>
            <w:tcW w:w="1814" w:type="dxa"/>
            <w:noWrap w:val="0"/>
            <w:vAlign w:val="center"/>
          </w:tcPr>
          <w:p w14:paraId="7CFDE40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0.05%</w:t>
            </w:r>
          </w:p>
        </w:tc>
      </w:tr>
      <w:tr w14:paraId="2249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9" w:type="dxa"/>
            <w:noWrap w:val="0"/>
            <w:vAlign w:val="center"/>
          </w:tcPr>
          <w:p w14:paraId="52CCDEA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50000-100000（含100000）</w:t>
            </w:r>
          </w:p>
        </w:tc>
        <w:tc>
          <w:tcPr>
            <w:tcW w:w="1814" w:type="dxa"/>
            <w:noWrap w:val="0"/>
            <w:vAlign w:val="center"/>
          </w:tcPr>
          <w:p w14:paraId="766BEDE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0.05%</w:t>
            </w:r>
          </w:p>
        </w:tc>
        <w:tc>
          <w:tcPr>
            <w:tcW w:w="1814" w:type="dxa"/>
            <w:noWrap w:val="0"/>
            <w:vAlign w:val="center"/>
          </w:tcPr>
          <w:p w14:paraId="5B61679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0.05%</w:t>
            </w:r>
          </w:p>
        </w:tc>
        <w:tc>
          <w:tcPr>
            <w:tcW w:w="1814" w:type="dxa"/>
            <w:noWrap w:val="0"/>
            <w:vAlign w:val="center"/>
          </w:tcPr>
          <w:p w14:paraId="64BEF2E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C4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49" w:type="dxa"/>
            <w:noWrap w:val="0"/>
            <w:vAlign w:val="center"/>
          </w:tcPr>
          <w:p w14:paraId="2221FA8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100000以上</w:t>
            </w:r>
          </w:p>
        </w:tc>
        <w:tc>
          <w:tcPr>
            <w:tcW w:w="1814" w:type="dxa"/>
            <w:noWrap w:val="0"/>
            <w:vAlign w:val="center"/>
          </w:tcPr>
          <w:p w14:paraId="216293F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0.01%</w:t>
            </w:r>
          </w:p>
        </w:tc>
        <w:tc>
          <w:tcPr>
            <w:tcW w:w="1814" w:type="dxa"/>
            <w:noWrap w:val="0"/>
            <w:vAlign w:val="center"/>
          </w:tcPr>
          <w:p w14:paraId="66D0653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0.01%</w:t>
            </w:r>
          </w:p>
        </w:tc>
        <w:tc>
          <w:tcPr>
            <w:tcW w:w="1814" w:type="dxa"/>
            <w:noWrap w:val="0"/>
            <w:vAlign w:val="center"/>
          </w:tcPr>
          <w:p w14:paraId="00CD804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9EC177B">
      <w:pPr>
        <w:jc w:val="center"/>
        <w:rPr>
          <w:rFonts w:hint="eastAsia" w:ascii="Calibri" w:hAnsi="Calibri" w:eastAsia="宋体" w:cs="Times New Roman"/>
          <w:color w:val="auto"/>
          <w:sz w:val="21"/>
          <w:lang w:eastAsia="zh-CN"/>
        </w:rPr>
      </w:pPr>
    </w:p>
    <w:p w14:paraId="76466244"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注：招标代理服务收费按差额定率累进法计算。以每个中标通知书的中标金额为计费基数。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52C4"/>
    <w:rsid w:val="1AA73A04"/>
    <w:rsid w:val="4F3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370</Characters>
  <Lines>0</Lines>
  <Paragraphs>0</Paragraphs>
  <TotalTime>0</TotalTime>
  <ScaleCrop>false</ScaleCrop>
  <LinksUpToDate>false</LinksUpToDate>
  <CharactersWithSpaces>375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2024-01-12T09:24:00Z</dcterms:created>
  <dc:creator>zy</dc:creator>
  <cp:lastModifiedBy>赵诣</cp:lastModifiedBy>
  <dcterms:modified xsi:type="dcterms:W3CDTF">2024-11-14T00:45:09Z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6F51965E8D1C40E7B4C4A64AE65A48A1_12</vt:lpwstr>
  </property>
</Properties>
</file>