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line="48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 w:eastAsia="宋体" w:cs="黑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黑体"/>
          <w:b/>
          <w:sz w:val="36"/>
          <w:szCs w:val="36"/>
        </w:rPr>
        <w:t>拟派项目服务机构人员配置要求</w:t>
      </w:r>
      <w:bookmarkEnd w:id="0"/>
    </w:p>
    <w:p>
      <w:pPr>
        <w:spacing w:line="240" w:lineRule="exact"/>
        <w:jc w:val="center"/>
        <w:rPr>
          <w:rFonts w:hint="eastAsia" w:ascii="黑体" w:eastAsia="黑体" w:cs="黑体"/>
          <w:sz w:val="21"/>
          <w:szCs w:val="21"/>
        </w:rPr>
      </w:pPr>
    </w:p>
    <w:tbl>
      <w:tblPr>
        <w:tblStyle w:val="3"/>
        <w:tblW w:w="9999" w:type="dxa"/>
        <w:jc w:val="center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09"/>
        <w:gridCol w:w="1843"/>
        <w:gridCol w:w="2038"/>
        <w:gridCol w:w="1575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服务人员配置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毕业专业及年限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执业资格及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技术职称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承担过类似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项目业绩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造价负责人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建筑工程类专业专科学历</w:t>
            </w:r>
            <w:r>
              <w:rPr>
                <w:rFonts w:hint="eastAsia" w:asci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eastAsia="宋体" w:cs="宋体"/>
                <w:sz w:val="22"/>
                <w:szCs w:val="22"/>
              </w:rPr>
              <w:t>毕业年限10年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一级注册造价工程师、中级工程师</w:t>
            </w: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土建专业负责人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建筑工程类专业专科学历</w:t>
            </w:r>
            <w:r>
              <w:rPr>
                <w:rFonts w:hint="eastAsia" w:asci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eastAsia="宋体" w:cs="宋体"/>
                <w:sz w:val="22"/>
                <w:szCs w:val="22"/>
              </w:rPr>
              <w:t>毕业年限8年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造价员或二级造价工程师及以上、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中级工程师</w:t>
            </w: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土建专业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建筑工程类专业专科学历</w:t>
            </w:r>
            <w:r>
              <w:rPr>
                <w:rFonts w:hint="eastAsia" w:asci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eastAsia="宋体" w:cs="宋体"/>
                <w:sz w:val="22"/>
                <w:szCs w:val="22"/>
              </w:rPr>
              <w:t>毕业年限5年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造价员或二级造价工程师及以上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1项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安装专业负责人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建筑工程类专业专科学历</w:t>
            </w:r>
            <w:r>
              <w:rPr>
                <w:rFonts w:hint="eastAsia" w:asci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eastAsia="宋体" w:cs="宋体"/>
                <w:sz w:val="22"/>
                <w:szCs w:val="22"/>
              </w:rPr>
              <w:t>毕业年限8年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造价员或二级造价工程师及以上、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中级工程师</w:t>
            </w: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安装（水、暖通、消防、强电、弱电）专业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建筑工程类专业专科学历、毕业年限5年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造价员或二级造价工程师及以上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1项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99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</w:rPr>
              <w:t>说明：</w:t>
            </w:r>
            <w:r>
              <w:rPr>
                <w:rFonts w:hint="eastAsia" w:ascii="宋体" w:eastAsia="宋体" w:cs="宋体"/>
                <w:sz w:val="22"/>
                <w:szCs w:val="22"/>
              </w:rPr>
              <w:t>1.以上人员数量为最低要求，</w:t>
            </w: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eastAsia="宋体" w:cs="宋体"/>
                <w:sz w:val="22"/>
                <w:szCs w:val="22"/>
              </w:rPr>
              <w:t>可自行增加；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2.以上人员学历、毕业年限、执业资格、技术职称及承担过类似项目业绩为最低要求，</w:t>
            </w:r>
            <w: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eastAsia="宋体" w:cs="宋体"/>
                <w:sz w:val="22"/>
                <w:szCs w:val="22"/>
              </w:rPr>
              <w:t>可优于上述要求</w:t>
            </w:r>
            <w:r>
              <w:rPr>
                <w:rFonts w:hint="eastAsia" w:asci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16A9"/>
    <w:multiLevelType w:val="multilevel"/>
    <w:tmpl w:val="3AB616A9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52C4"/>
    <w:rsid w:val="4F3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2024-01-12T09:24:00Z</dcterms:created>
  <dc:creator>zy</dc:creator>
  <cp:lastModifiedBy>zy</cp:lastModifiedBy>
  <dcterms:modified xsi:type="dcterms:W3CDTF">2024-01-12T09:24:46Z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