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399" w:lineRule="exact"/>
        <w:ind w:right="0"/>
        <w:jc w:val="left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 xml:space="preserve">附件 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</w:p>
    <w:p>
      <w:pPr>
        <w:spacing w:before="0" w:line="755" w:lineRule="exact"/>
        <w:ind w:left="248" w:right="0" w:firstLine="0"/>
        <w:jc w:val="left"/>
        <w:rPr>
          <w:rFonts w:hint="eastAsia" w:ascii="Arial Unicode MS" w:eastAsia="Arial Unicode MS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房屋市政工程危险性较大的分部分项工程范围</w:t>
      </w:r>
    </w:p>
    <w:bookmarkEnd w:id="0"/>
    <w:p>
      <w:pPr>
        <w:pStyle w:val="4"/>
        <w:spacing w:before="14"/>
        <w:rPr>
          <w:rFonts w:ascii="Arial Unicode MS"/>
          <w:sz w:val="20"/>
        </w:rPr>
      </w:pPr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826"/>
        <w:gridCol w:w="3377"/>
        <w:gridCol w:w="789"/>
        <w:gridCol w:w="3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9"/>
              <w:spacing w:line="301" w:lineRule="exact"/>
              <w:ind w:left="20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99"/>
                <w:sz w:val="21"/>
              </w:rPr>
              <w:t>类</w:t>
            </w:r>
          </w:p>
          <w:p>
            <w:pPr>
              <w:pStyle w:val="9"/>
              <w:spacing w:line="303" w:lineRule="exact"/>
              <w:ind w:left="20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99"/>
                <w:sz w:val="21"/>
              </w:rPr>
              <w:t>别</w:t>
            </w:r>
          </w:p>
        </w:tc>
        <w:tc>
          <w:tcPr>
            <w:tcW w:w="4203" w:type="dxa"/>
            <w:gridSpan w:val="2"/>
          </w:tcPr>
          <w:p>
            <w:pPr>
              <w:pStyle w:val="9"/>
              <w:spacing w:before="108"/>
              <w:ind w:left="1449" w:right="1444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危大工程范围</w:t>
            </w:r>
          </w:p>
        </w:tc>
        <w:tc>
          <w:tcPr>
            <w:tcW w:w="4239" w:type="dxa"/>
            <w:gridSpan w:val="2"/>
          </w:tcPr>
          <w:p>
            <w:pPr>
              <w:pStyle w:val="9"/>
              <w:spacing w:before="108"/>
              <w:ind w:left="74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超过一定规模的危大工程范围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9" w:type="dxa"/>
            <w:vMerge w:val="restart"/>
          </w:tcPr>
          <w:p>
            <w:pPr>
              <w:pStyle w:val="9"/>
              <w:spacing w:before="8"/>
              <w:rPr>
                <w:rFonts w:ascii="Arial Unicode MS"/>
                <w:sz w:val="18"/>
              </w:rPr>
            </w:pPr>
          </w:p>
          <w:p>
            <w:pPr>
              <w:pStyle w:val="9"/>
              <w:spacing w:line="194" w:lineRule="auto"/>
              <w:ind w:left="203" w:right="194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基坑工程</w:t>
            </w:r>
          </w:p>
        </w:tc>
        <w:tc>
          <w:tcPr>
            <w:tcW w:w="4203" w:type="dxa"/>
            <w:gridSpan w:val="2"/>
          </w:tcPr>
          <w:p>
            <w:pPr>
              <w:pStyle w:val="9"/>
              <w:spacing w:before="21"/>
              <w:ind w:left="107" w:right="-15"/>
              <w:rPr>
                <w:sz w:val="21"/>
              </w:rPr>
            </w:pPr>
            <w:r>
              <w:rPr>
                <w:sz w:val="21"/>
              </w:rPr>
              <w:t>（一</w:t>
            </w:r>
            <w:r>
              <w:rPr>
                <w:spacing w:val="-53"/>
                <w:sz w:val="21"/>
              </w:rPr>
              <w:t>）</w:t>
            </w:r>
            <w:r>
              <w:rPr>
                <w:spacing w:val="-9"/>
                <w:sz w:val="21"/>
              </w:rPr>
              <w:t xml:space="preserve">开挖深度超过 </w:t>
            </w:r>
            <w:r>
              <w:rPr>
                <w:spacing w:val="-18"/>
                <w:sz w:val="21"/>
              </w:rPr>
              <w:t>3m（</w:t>
            </w:r>
            <w:r>
              <w:rPr>
                <w:spacing w:val="-30"/>
                <w:sz w:val="21"/>
              </w:rPr>
              <w:t xml:space="preserve">含 </w:t>
            </w:r>
            <w:r>
              <w:rPr>
                <w:spacing w:val="-17"/>
                <w:sz w:val="21"/>
              </w:rPr>
              <w:t>3m）的基坑</w:t>
            </w:r>
            <w:r>
              <w:rPr>
                <w:sz w:val="21"/>
              </w:rPr>
              <w:t>（槽）</w:t>
            </w:r>
          </w:p>
          <w:p>
            <w:pPr>
              <w:pStyle w:val="9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的土方开挖、支护、降水工程。</w:t>
            </w:r>
          </w:p>
        </w:tc>
        <w:tc>
          <w:tcPr>
            <w:tcW w:w="4239" w:type="dxa"/>
            <w:gridSpan w:val="2"/>
            <w:vMerge w:val="restart"/>
            <w:vAlign w:val="center"/>
          </w:tcPr>
          <w:p>
            <w:pPr>
              <w:pStyle w:val="9"/>
              <w:spacing w:before="7"/>
              <w:jc w:val="center"/>
              <w:rPr>
                <w:rFonts w:ascii="Arial Unicode MS"/>
                <w:sz w:val="19"/>
              </w:rPr>
            </w:pPr>
          </w:p>
          <w:p>
            <w:pPr>
              <w:pStyle w:val="9"/>
              <w:spacing w:line="278" w:lineRule="auto"/>
              <w:ind w:left="106" w:right="96"/>
              <w:jc w:val="center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开挖深度超过 </w:t>
            </w:r>
            <w:r>
              <w:rPr>
                <w:spacing w:val="-6"/>
                <w:sz w:val="21"/>
              </w:rPr>
              <w:t>5m（</w:t>
            </w:r>
            <w:r>
              <w:rPr>
                <w:spacing w:val="-30"/>
                <w:sz w:val="21"/>
              </w:rPr>
              <w:t xml:space="preserve">含 </w:t>
            </w:r>
            <w:r>
              <w:rPr>
                <w:spacing w:val="-5"/>
                <w:sz w:val="21"/>
              </w:rPr>
              <w:t>5m）</w:t>
            </w:r>
            <w:r>
              <w:rPr>
                <w:spacing w:val="-6"/>
                <w:sz w:val="21"/>
              </w:rPr>
              <w:t>的基坑</w:t>
            </w:r>
            <w:r>
              <w:rPr>
                <w:sz w:val="21"/>
              </w:rPr>
              <w:t>（槽</w:t>
            </w:r>
            <w:r>
              <w:rPr>
                <w:spacing w:val="-17"/>
                <w:sz w:val="21"/>
              </w:rPr>
              <w:t>）</w:t>
            </w:r>
            <w:r>
              <w:rPr>
                <w:sz w:val="21"/>
              </w:rPr>
              <w:t>的土</w:t>
            </w:r>
            <w:r>
              <w:rPr>
                <w:spacing w:val="-12"/>
                <w:sz w:val="21"/>
              </w:rPr>
              <w:t>方开挖、支护、降水工程</w:t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2"/>
          </w:tcPr>
          <w:p>
            <w:pPr>
              <w:pStyle w:val="9"/>
              <w:spacing w:before="21" w:line="278" w:lineRule="auto"/>
              <w:ind w:left="107" w:right="-15"/>
              <w:jc w:val="both"/>
              <w:rPr>
                <w:sz w:val="21"/>
              </w:rPr>
            </w:pPr>
            <w:r>
              <w:rPr>
                <w:sz w:val="21"/>
              </w:rPr>
              <w:t>（二）开挖深度虽未超过 3m，但地质条件、周围环境和地下管线复杂，或影响毗邻建、构筑物安全的基坑（槽）的土方开挖、支护、</w:t>
            </w:r>
          </w:p>
          <w:p>
            <w:pPr>
              <w:pStyle w:val="9"/>
              <w:spacing w:before="21" w:line="278" w:lineRule="auto"/>
              <w:ind w:left="107" w:right="-15"/>
              <w:jc w:val="both"/>
              <w:rPr>
                <w:sz w:val="21"/>
              </w:rPr>
            </w:pPr>
            <w:r>
              <w:rPr>
                <w:sz w:val="21"/>
              </w:rPr>
              <w:t>降水工程。</w:t>
            </w:r>
          </w:p>
        </w:tc>
        <w:tc>
          <w:tcPr>
            <w:tcW w:w="423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  <w:vMerge w:val="restart"/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9"/>
              <w:rPr>
                <w:rFonts w:ascii="Arial Unicode MS"/>
                <w:sz w:val="10"/>
              </w:rPr>
            </w:pPr>
          </w:p>
          <w:p>
            <w:pPr>
              <w:pStyle w:val="9"/>
              <w:spacing w:line="194" w:lineRule="auto"/>
              <w:ind w:left="203" w:right="194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模板工程及支撑体系</w:t>
            </w:r>
          </w:p>
        </w:tc>
        <w:tc>
          <w:tcPr>
            <w:tcW w:w="4203" w:type="dxa"/>
            <w:gridSpan w:val="2"/>
          </w:tcPr>
          <w:p>
            <w:pPr>
              <w:pStyle w:val="9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（一）各类工具式模板工程：包括滑模、爬</w:t>
            </w:r>
          </w:p>
          <w:p>
            <w:pPr>
              <w:pStyle w:val="9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模、飞模、隧道模等工程。</w:t>
            </w:r>
          </w:p>
        </w:tc>
        <w:tc>
          <w:tcPr>
            <w:tcW w:w="4239" w:type="dxa"/>
            <w:gridSpan w:val="2"/>
          </w:tcPr>
          <w:p>
            <w:pPr>
              <w:pStyle w:val="9"/>
              <w:spacing w:before="20"/>
              <w:ind w:left="106"/>
              <w:rPr>
                <w:sz w:val="21"/>
              </w:rPr>
            </w:pPr>
            <w:r>
              <w:rPr>
                <w:sz w:val="21"/>
              </w:rPr>
              <w:t>（一）各类工具式模板工程：包括滑模、爬</w:t>
            </w:r>
          </w:p>
          <w:p>
            <w:pPr>
              <w:pStyle w:val="9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模、飞模、隧道模等工程。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pStyle w:val="9"/>
              <w:spacing w:before="43" w:line="278" w:lineRule="auto"/>
              <w:ind w:right="96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（二）混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凝土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模板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支撑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工程</w:t>
            </w:r>
          </w:p>
        </w:tc>
        <w:tc>
          <w:tcPr>
            <w:tcW w:w="3377" w:type="dxa"/>
          </w:tcPr>
          <w:p>
            <w:pPr>
              <w:pStyle w:val="9"/>
              <w:spacing w:before="135"/>
              <w:ind w:left="106"/>
              <w:rPr>
                <w:sz w:val="21"/>
              </w:rPr>
            </w:pPr>
            <w:r>
              <w:rPr>
                <w:sz w:val="21"/>
              </w:rPr>
              <w:t>1、搭设高度 5m 及以上；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pStyle w:val="9"/>
              <w:spacing w:before="43" w:line="278" w:lineRule="auto"/>
              <w:ind w:right="98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（二）混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凝土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模板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支撑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工程</w:t>
            </w:r>
          </w:p>
        </w:tc>
        <w:tc>
          <w:tcPr>
            <w:tcW w:w="3450" w:type="dxa"/>
          </w:tcPr>
          <w:p>
            <w:pPr>
              <w:pStyle w:val="9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1、搭设高度 8m 及以上；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>
            <w:pPr>
              <w:pStyle w:val="9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2、搭设跨度 10m 及以上；</w:t>
            </w: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9"/>
              <w:spacing w:before="40"/>
              <w:ind w:left="107"/>
              <w:rPr>
                <w:sz w:val="21"/>
              </w:rPr>
            </w:pPr>
            <w:r>
              <w:rPr>
                <w:sz w:val="21"/>
              </w:rPr>
              <w:t>2、搭设跨度 18m 及以上；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vAlign w:val="center"/>
          </w:tcPr>
          <w:p>
            <w:pPr>
              <w:pStyle w:val="9"/>
              <w:spacing w:before="40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3、施工总荷载（设计值）10kN/m2</w:t>
            </w:r>
          </w:p>
          <w:p>
            <w:pPr>
              <w:pStyle w:val="9"/>
              <w:spacing w:before="40"/>
              <w:ind w:left="106"/>
              <w:jc w:val="left"/>
              <w:rPr>
                <w:sz w:val="21"/>
              </w:rPr>
            </w:pPr>
            <w:r>
              <w:rPr>
                <w:sz w:val="21"/>
              </w:rPr>
              <w:t>及以上；</w:t>
            </w: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9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3、施工总荷载（设计值）15kN/m2</w:t>
            </w:r>
          </w:p>
          <w:p>
            <w:pPr>
              <w:pStyle w:val="9"/>
              <w:spacing w:before="135"/>
              <w:ind w:left="107"/>
              <w:rPr>
                <w:sz w:val="21"/>
              </w:rPr>
            </w:pPr>
            <w:r>
              <w:rPr>
                <w:sz w:val="21"/>
              </w:rPr>
              <w:t>及以上；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>
            <w:pPr>
              <w:pStyle w:val="9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4、集中线荷载（设计值）15kN/m</w:t>
            </w:r>
          </w:p>
          <w:p>
            <w:pPr>
              <w:pStyle w:val="9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及以上；</w:t>
            </w: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9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10"/>
                <w:sz w:val="21"/>
              </w:rPr>
              <w:t>、集中线荷载</w:t>
            </w:r>
            <w:r>
              <w:rPr>
                <w:sz w:val="21"/>
              </w:rPr>
              <w:t>（设计值</w:t>
            </w:r>
            <w:r>
              <w:rPr>
                <w:spacing w:val="-3"/>
                <w:sz w:val="21"/>
              </w:rPr>
              <w:t>）20kN/m</w:t>
            </w:r>
            <w:r>
              <w:rPr>
                <w:spacing w:val="-29"/>
                <w:sz w:val="21"/>
              </w:rPr>
              <w:t xml:space="preserve"> 及</w:t>
            </w:r>
          </w:p>
          <w:p>
            <w:pPr>
              <w:pStyle w:val="9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</w:tcPr>
          <w:p>
            <w:pPr>
              <w:pStyle w:val="9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5、高度大于支撑水平投影宽度且相对独立无联系构件的混凝土模板支</w:t>
            </w:r>
          </w:p>
          <w:p>
            <w:pPr>
              <w:pStyle w:val="9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撑工程。</w:t>
            </w:r>
          </w:p>
        </w:tc>
        <w:tc>
          <w:tcPr>
            <w:tcW w:w="4239" w:type="dxa"/>
            <w:gridSpan w:val="2"/>
            <w:vAlign w:val="center"/>
          </w:tcPr>
          <w:p>
            <w:pPr>
              <w:pStyle w:val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5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2"/>
          </w:tcPr>
          <w:p>
            <w:pPr>
              <w:pStyle w:val="9"/>
              <w:spacing w:before="146"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（三）承重支撑体系：用于钢结构安装等满堂支撑体系。</w:t>
            </w:r>
          </w:p>
        </w:tc>
        <w:tc>
          <w:tcPr>
            <w:tcW w:w="4239" w:type="dxa"/>
            <w:gridSpan w:val="2"/>
          </w:tcPr>
          <w:p>
            <w:pPr>
              <w:pStyle w:val="9"/>
              <w:spacing w:before="146" w:line="278" w:lineRule="auto"/>
              <w:ind w:left="106" w:right="-1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4"/>
                <w:sz w:val="21"/>
              </w:rPr>
              <w:t>三</w:t>
            </w:r>
            <w:r>
              <w:rPr>
                <w:sz w:val="21"/>
              </w:rPr>
              <w:t>）承重支撑体系：用于钢结构安装等满</w:t>
            </w:r>
            <w:r>
              <w:rPr>
                <w:spacing w:val="-12"/>
                <w:sz w:val="21"/>
              </w:rPr>
              <w:t xml:space="preserve">堂支撑体系，承受单点集中荷载 </w:t>
            </w:r>
            <w:r>
              <w:rPr>
                <w:sz w:val="21"/>
              </w:rPr>
              <w:t>7KN</w:t>
            </w:r>
            <w:r>
              <w:rPr>
                <w:spacing w:val="-12"/>
                <w:sz w:val="21"/>
              </w:rPr>
              <w:t xml:space="preserve"> 及以上。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9" w:hRule="atLeast"/>
        </w:trPr>
        <w:tc>
          <w:tcPr>
            <w:tcW w:w="619" w:type="dxa"/>
            <w:vMerge w:val="restart"/>
          </w:tcPr>
          <w:p>
            <w:pPr>
              <w:pStyle w:val="9"/>
              <w:spacing w:before="6"/>
              <w:rPr>
                <w:rFonts w:ascii="Arial Unicode MS"/>
                <w:sz w:val="12"/>
              </w:rPr>
            </w:pPr>
          </w:p>
          <w:p>
            <w:pPr>
              <w:pStyle w:val="9"/>
              <w:spacing w:line="194" w:lineRule="auto"/>
              <w:ind w:left="203" w:right="194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起重吊装及安装拆卸工程</w:t>
            </w:r>
          </w:p>
        </w:tc>
        <w:tc>
          <w:tcPr>
            <w:tcW w:w="4203" w:type="dxa"/>
            <w:gridSpan w:val="2"/>
          </w:tcPr>
          <w:p>
            <w:pPr>
              <w:pStyle w:val="9"/>
              <w:spacing w:before="2"/>
              <w:rPr>
                <w:rFonts w:ascii="Arial Unicode MS"/>
                <w:sz w:val="13"/>
              </w:rPr>
            </w:pPr>
          </w:p>
          <w:p>
            <w:pPr>
              <w:pStyle w:val="9"/>
              <w:spacing w:line="278" w:lineRule="auto"/>
              <w:ind w:left="107" w:right="95"/>
              <w:rPr>
                <w:sz w:val="21"/>
              </w:rPr>
            </w:pPr>
            <w:r>
              <w:rPr>
                <w:sz w:val="21"/>
              </w:rPr>
              <w:t>（一）采用非常规起重设备、方法，且单件起吊重量在 10KN 及以上的起重吊装工程。</w:t>
            </w:r>
          </w:p>
        </w:tc>
        <w:tc>
          <w:tcPr>
            <w:tcW w:w="4239" w:type="dxa"/>
            <w:gridSpan w:val="2"/>
          </w:tcPr>
          <w:p>
            <w:pPr>
              <w:pStyle w:val="9"/>
              <w:spacing w:before="2"/>
              <w:rPr>
                <w:rFonts w:ascii="Arial Unicode MS"/>
                <w:sz w:val="13"/>
              </w:rPr>
            </w:pPr>
          </w:p>
          <w:p>
            <w:pPr>
              <w:pStyle w:val="9"/>
              <w:spacing w:line="278" w:lineRule="auto"/>
              <w:ind w:left="106" w:right="22"/>
              <w:rPr>
                <w:sz w:val="21"/>
              </w:rPr>
            </w:pPr>
            <w:r>
              <w:rPr>
                <w:sz w:val="21"/>
              </w:rPr>
              <w:t>（一）采用非常规起重设备、方法，且单件起吊重量在 100kN 及以上的起重吊装工程。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2"/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16"/>
              <w:rPr>
                <w:rFonts w:ascii="Arial Unicode MS"/>
                <w:sz w:val="13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（二）采用起重机械进行安装的工程。</w:t>
            </w:r>
          </w:p>
        </w:tc>
        <w:tc>
          <w:tcPr>
            <w:tcW w:w="4239" w:type="dxa"/>
            <w:gridSpan w:val="2"/>
          </w:tcPr>
          <w:p>
            <w:pPr>
              <w:pStyle w:val="9"/>
              <w:rPr>
                <w:rFonts w:ascii="Arial Unicode MS"/>
                <w:sz w:val="16"/>
              </w:rPr>
            </w:pPr>
          </w:p>
          <w:p>
            <w:pPr>
              <w:pStyle w:val="9"/>
              <w:spacing w:line="278" w:lineRule="auto"/>
              <w:ind w:left="106" w:right="97"/>
              <w:jc w:val="both"/>
              <w:rPr>
                <w:sz w:val="21"/>
              </w:rPr>
            </w:pPr>
            <w:r>
              <w:rPr>
                <w:sz w:val="21"/>
              </w:rPr>
              <w:t>（二）</w:t>
            </w:r>
            <w:r>
              <w:rPr>
                <w:spacing w:val="-14"/>
                <w:sz w:val="21"/>
              </w:rPr>
              <w:t xml:space="preserve">起重量 </w:t>
            </w:r>
            <w:r>
              <w:rPr>
                <w:sz w:val="21"/>
              </w:rPr>
              <w:t>300kN</w:t>
            </w:r>
            <w:r>
              <w:rPr>
                <w:spacing w:val="-8"/>
                <w:sz w:val="21"/>
              </w:rPr>
              <w:t xml:space="preserve"> 及以上，或搭设总高度200m</w:t>
            </w:r>
            <w:r>
              <w:rPr>
                <w:spacing w:val="-5"/>
                <w:sz w:val="21"/>
              </w:rPr>
              <w:t xml:space="preserve"> 及以上，或搭设基础标高在 </w:t>
            </w:r>
            <w:r>
              <w:rPr>
                <w:sz w:val="21"/>
              </w:rPr>
              <w:t>200m</w:t>
            </w:r>
            <w:r>
              <w:rPr>
                <w:spacing w:val="-20"/>
                <w:sz w:val="21"/>
              </w:rPr>
              <w:t xml:space="preserve"> 及以</w:t>
            </w:r>
            <w:r>
              <w:rPr>
                <w:sz w:val="21"/>
              </w:rPr>
              <w:t>上的起重机械安装和拆卸工程。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9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gridSpan w:val="2"/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11"/>
              <w:rPr>
                <w:rFonts w:ascii="Arial Unicode MS"/>
                <w:sz w:val="10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（三）起重机械安装和拆卸工程。</w:t>
            </w:r>
          </w:p>
        </w:tc>
        <w:tc>
          <w:tcPr>
            <w:tcW w:w="4239" w:type="dxa"/>
            <w:gridSpan w:val="2"/>
          </w:tcPr>
          <w:p>
            <w:pPr>
              <w:pStyle w:val="9"/>
              <w:rPr>
                <w:rFonts w:ascii="Arial Unicode MS"/>
                <w:sz w:val="20"/>
              </w:rPr>
            </w:pPr>
          </w:p>
          <w:p>
            <w:pPr>
              <w:pStyle w:val="9"/>
              <w:spacing w:before="11"/>
              <w:rPr>
                <w:rFonts w:ascii="Arial Unicode MS"/>
                <w:sz w:val="10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right="1240" w:bottom="1700" w:left="1360" w:header="0" w:footer="1518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3"/>
        </w:rPr>
      </w:pPr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203"/>
        <w:gridCol w:w="4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19" w:type="dxa"/>
          </w:tcPr>
          <w:p>
            <w:pPr>
              <w:pStyle w:val="9"/>
              <w:spacing w:line="301" w:lineRule="exact"/>
              <w:ind w:left="20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99"/>
                <w:sz w:val="21"/>
              </w:rPr>
              <w:t>类</w:t>
            </w:r>
          </w:p>
          <w:p>
            <w:pPr>
              <w:pStyle w:val="9"/>
              <w:spacing w:line="303" w:lineRule="exact"/>
              <w:ind w:left="20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99"/>
                <w:sz w:val="21"/>
              </w:rPr>
              <w:t>别</w:t>
            </w:r>
          </w:p>
        </w:tc>
        <w:tc>
          <w:tcPr>
            <w:tcW w:w="4203" w:type="dxa"/>
          </w:tcPr>
          <w:p>
            <w:pPr>
              <w:pStyle w:val="9"/>
              <w:spacing w:before="107"/>
              <w:ind w:left="1449" w:right="1444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危大工程范围</w:t>
            </w:r>
          </w:p>
        </w:tc>
        <w:tc>
          <w:tcPr>
            <w:tcW w:w="4239" w:type="dxa"/>
          </w:tcPr>
          <w:p>
            <w:pPr>
              <w:pStyle w:val="9"/>
              <w:spacing w:before="107"/>
              <w:ind w:left="74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超过一定规模的危大工程范围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19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194" w:lineRule="auto"/>
              <w:ind w:left="203" w:right="194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脚手架工程</w:t>
            </w:r>
          </w:p>
        </w:tc>
        <w:tc>
          <w:tcPr>
            <w:tcW w:w="4203" w:type="dxa"/>
          </w:tcPr>
          <w:p>
            <w:pPr>
              <w:pStyle w:val="9"/>
              <w:spacing w:before="159" w:line="278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（一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2"/>
                <w:sz w:val="21"/>
              </w:rPr>
              <w:t xml:space="preserve">搭设高度 </w:t>
            </w:r>
            <w:r>
              <w:rPr>
                <w:sz w:val="21"/>
              </w:rPr>
              <w:t>24m</w:t>
            </w:r>
            <w:r>
              <w:rPr>
                <w:spacing w:val="-8"/>
                <w:sz w:val="21"/>
              </w:rPr>
              <w:t xml:space="preserve"> 及以上的落地式钢管脚手架工程（包括采光井、电梯井脚手架）。</w:t>
            </w:r>
          </w:p>
        </w:tc>
        <w:tc>
          <w:tcPr>
            <w:tcW w:w="4239" w:type="dxa"/>
          </w:tcPr>
          <w:p>
            <w:pPr>
              <w:pStyle w:val="9"/>
              <w:spacing w:before="159" w:line="278" w:lineRule="auto"/>
              <w:ind w:left="106" w:right="22"/>
              <w:rPr>
                <w:sz w:val="21"/>
              </w:rPr>
            </w:pPr>
            <w:r>
              <w:rPr>
                <w:spacing w:val="-8"/>
                <w:sz w:val="21"/>
              </w:rPr>
              <w:t>（一）搭设高度 50m 及以上的落地式钢管脚手架工程。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9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</w:tcPr>
          <w:p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（二）附着式升降脚手架工程。</w:t>
            </w:r>
          </w:p>
        </w:tc>
        <w:tc>
          <w:tcPr>
            <w:tcW w:w="4239" w:type="dxa"/>
          </w:tcPr>
          <w:p>
            <w:pPr>
              <w:pStyle w:val="9"/>
              <w:spacing w:before="152" w:line="278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（二</w:t>
            </w:r>
            <w:r>
              <w:rPr>
                <w:spacing w:val="-70"/>
                <w:sz w:val="21"/>
              </w:rPr>
              <w:t>）</w:t>
            </w:r>
            <w:r>
              <w:rPr>
                <w:spacing w:val="-10"/>
                <w:sz w:val="21"/>
              </w:rPr>
              <w:t xml:space="preserve">提升高度在 </w:t>
            </w:r>
            <w:r>
              <w:rPr>
                <w:rFonts w:hint="eastAsia"/>
                <w:sz w:val="21"/>
                <w:lang w:val="en-US" w:eastAsia="zh-CN"/>
              </w:rPr>
              <w:t>80</w:t>
            </w:r>
            <w:r>
              <w:rPr>
                <w:sz w:val="21"/>
              </w:rPr>
              <w:t>m</w:t>
            </w:r>
            <w:r>
              <w:rPr>
                <w:spacing w:val="-8"/>
                <w:sz w:val="21"/>
              </w:rPr>
              <w:t xml:space="preserve"> 及以上的附着式升降脚手架工程或附着式升降操作平台工程。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</w:tcPr>
          <w:p>
            <w:pPr>
              <w:pStyle w:val="9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9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（三）悬挑式脚手架工程。</w:t>
            </w:r>
          </w:p>
        </w:tc>
        <w:tc>
          <w:tcPr>
            <w:tcW w:w="4239" w:type="dxa"/>
          </w:tcPr>
          <w:p>
            <w:pPr>
              <w:pStyle w:val="9"/>
              <w:spacing w:before="141" w:line="278" w:lineRule="auto"/>
              <w:ind w:left="106" w:right="22"/>
              <w:rPr>
                <w:sz w:val="21"/>
              </w:rPr>
            </w:pPr>
            <w:r>
              <w:rPr>
                <w:sz w:val="21"/>
              </w:rPr>
              <w:t>（三）分段架体搭设高度 20m 及以上的悬挑式脚手架工程。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7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</w:tcPr>
          <w:p>
            <w:pPr>
              <w:pStyle w:val="9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（四）高处作业吊篮。</w:t>
            </w:r>
          </w:p>
        </w:tc>
        <w:tc>
          <w:tcPr>
            <w:tcW w:w="4239" w:type="dxa"/>
          </w:tcPr>
          <w:p>
            <w:pPr>
              <w:pStyle w:val="9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9"/>
              <w:ind w:left="1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（四）采用非常规方法安装的高处作业吊篮。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6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</w:tcPr>
          <w:p>
            <w:pPr>
              <w:pStyle w:val="9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（五）卸料平台、操作平台工程。</w:t>
            </w:r>
          </w:p>
        </w:tc>
        <w:tc>
          <w:tcPr>
            <w:tcW w:w="4239" w:type="dxa"/>
          </w:tcPr>
          <w:p>
            <w:pPr>
              <w:pStyle w:val="9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4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</w:tcPr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（六）异型脚手架工程。</w:t>
            </w:r>
          </w:p>
        </w:tc>
        <w:tc>
          <w:tcPr>
            <w:tcW w:w="4239" w:type="dxa"/>
          </w:tcPr>
          <w:p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0" w:hRule="atLeast"/>
        </w:trPr>
        <w:tc>
          <w:tcPr>
            <w:tcW w:w="619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77" w:line="194" w:lineRule="auto"/>
              <w:ind w:left="203" w:right="194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拆除工程</w:t>
            </w:r>
          </w:p>
        </w:tc>
        <w:tc>
          <w:tcPr>
            <w:tcW w:w="4203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78" w:lineRule="auto"/>
              <w:ind w:left="107" w:right="99"/>
              <w:rPr>
                <w:sz w:val="21"/>
              </w:rPr>
            </w:pPr>
            <w:r>
              <w:rPr>
                <w:sz w:val="21"/>
              </w:rPr>
              <w:t>可能影响行人、交通、电力设施、通讯设施或其它建、构筑物安全的拆除工程。</w:t>
            </w:r>
          </w:p>
        </w:tc>
        <w:tc>
          <w:tcPr>
            <w:tcW w:w="4239" w:type="dxa"/>
          </w:tcPr>
          <w:p>
            <w:pPr>
              <w:pStyle w:val="9"/>
              <w:spacing w:before="121" w:line="278" w:lineRule="auto"/>
              <w:ind w:left="106" w:right="97"/>
              <w:jc w:val="both"/>
              <w:rPr>
                <w:sz w:val="21"/>
              </w:rPr>
            </w:pPr>
            <w:r>
              <w:rPr>
                <w:sz w:val="21"/>
              </w:rPr>
              <w:t>（一）码头、桥梁、高架、烟囱、水塔或拆除中容易引起有毒有害气（液）体或粉尘扩散、易燃易爆事故发生的特殊建、构筑物的拆除工程。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5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8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（二）文物保护建筑、优秀历史建筑或历史文化风貌区影响范围内的拆除工程。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</w:trPr>
        <w:tc>
          <w:tcPr>
            <w:tcW w:w="619" w:type="dxa"/>
          </w:tcPr>
          <w:p>
            <w:pPr>
              <w:pStyle w:val="9"/>
              <w:spacing w:before="162" w:line="194" w:lineRule="auto"/>
              <w:ind w:left="203" w:right="194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暗挖工程</w:t>
            </w:r>
          </w:p>
        </w:tc>
        <w:tc>
          <w:tcPr>
            <w:tcW w:w="42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9"/>
              <w:spacing w:line="278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采用矿山法、盾构法、顶管法施工的隧道、洞室工程。</w:t>
            </w:r>
          </w:p>
        </w:tc>
        <w:tc>
          <w:tcPr>
            <w:tcW w:w="423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9"/>
              <w:spacing w:line="278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采用矿山法、盾构法、顶管法施工的隧道、洞室工程。</w:t>
            </w:r>
          </w:p>
        </w:tc>
      </w:tr>
    </w:tbl>
    <w:p>
      <w:pPr>
        <w:spacing w:after="0" w:line="278" w:lineRule="auto"/>
        <w:rPr>
          <w:sz w:val="21"/>
        </w:rPr>
        <w:sectPr>
          <w:pgSz w:w="11910" w:h="16840"/>
          <w:pgMar w:top="1580" w:right="1240" w:bottom="1700" w:left="1360" w:header="0" w:footer="1518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3"/>
        </w:rPr>
      </w:pPr>
    </w:p>
    <w:tbl>
      <w:tblPr>
        <w:tblStyle w:val="7"/>
        <w:tblW w:w="9063" w:type="dxa"/>
        <w:tblInd w:w="-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4212"/>
        <w:gridCol w:w="4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3" w:type="dxa"/>
          </w:tcPr>
          <w:p>
            <w:pPr>
              <w:pStyle w:val="9"/>
              <w:spacing w:line="301" w:lineRule="exact"/>
              <w:ind w:left="20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99"/>
                <w:sz w:val="21"/>
              </w:rPr>
              <w:t>类</w:t>
            </w:r>
          </w:p>
          <w:p>
            <w:pPr>
              <w:pStyle w:val="9"/>
              <w:spacing w:line="303" w:lineRule="exact"/>
              <w:ind w:left="203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99"/>
                <w:sz w:val="21"/>
              </w:rPr>
              <w:t>别</w:t>
            </w:r>
          </w:p>
        </w:tc>
        <w:tc>
          <w:tcPr>
            <w:tcW w:w="4212" w:type="dxa"/>
          </w:tcPr>
          <w:p>
            <w:pPr>
              <w:pStyle w:val="9"/>
              <w:spacing w:before="107"/>
              <w:ind w:left="1449" w:right="1444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危大工程范围</w:t>
            </w:r>
          </w:p>
        </w:tc>
        <w:tc>
          <w:tcPr>
            <w:tcW w:w="4238" w:type="dxa"/>
          </w:tcPr>
          <w:p>
            <w:pPr>
              <w:pStyle w:val="9"/>
              <w:spacing w:before="107"/>
              <w:ind w:left="74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超过一定规模的危大工程范围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613" w:type="dxa"/>
            <w:vMerge w:val="restart"/>
            <w:vAlign w:val="center"/>
          </w:tcPr>
          <w:p>
            <w:pPr>
              <w:pStyle w:val="9"/>
              <w:spacing w:line="194" w:lineRule="auto"/>
              <w:ind w:right="290"/>
              <w:jc w:val="right"/>
              <w:rPr>
                <w:rFonts w:hint="default" w:ascii="Microsoft JhengHei" w:eastAsia="宋体"/>
                <w:b/>
                <w:sz w:val="21"/>
                <w:lang w:val="en-US" w:eastAsia="zh-CN"/>
              </w:rPr>
            </w:pPr>
            <w:r>
              <w:rPr>
                <w:rFonts w:hint="eastAsia" w:ascii="Microsoft JhengHei"/>
                <w:b/>
                <w:sz w:val="21"/>
                <w:lang w:val="en-US" w:eastAsia="zh-CN"/>
              </w:rPr>
              <w:t>其他工程</w:t>
            </w:r>
          </w:p>
        </w:tc>
        <w:tc>
          <w:tcPr>
            <w:tcW w:w="4212" w:type="dxa"/>
          </w:tcPr>
          <w:p>
            <w:pPr>
              <w:pStyle w:val="9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（一）建筑幕墙安装工程。</w:t>
            </w:r>
          </w:p>
        </w:tc>
        <w:tc>
          <w:tcPr>
            <w:tcW w:w="4238" w:type="dxa"/>
          </w:tcPr>
          <w:p>
            <w:pPr>
              <w:pStyle w:val="9"/>
              <w:spacing w:before="147" w:line="278" w:lineRule="auto"/>
              <w:ind w:left="106" w:right="22"/>
              <w:rPr>
                <w:sz w:val="21"/>
              </w:rPr>
            </w:pPr>
            <w:r>
              <w:rPr>
                <w:sz w:val="21"/>
              </w:rPr>
              <w:t>（一）施工高度 50m 及以上的建筑幕墙安装工程。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2" w:type="dxa"/>
            <w:vAlign w:val="center"/>
          </w:tcPr>
          <w:p>
            <w:pPr>
              <w:pStyle w:val="9"/>
              <w:jc w:val="center"/>
              <w:rPr>
                <w:sz w:val="21"/>
              </w:rPr>
            </w:pPr>
            <w:r>
              <w:rPr>
                <w:sz w:val="21"/>
              </w:rPr>
              <w:t>（二）钢结构、网架和索膜结构安装工程。</w:t>
            </w:r>
          </w:p>
        </w:tc>
        <w:tc>
          <w:tcPr>
            <w:tcW w:w="4238" w:type="dxa"/>
          </w:tcPr>
          <w:p>
            <w:pPr>
              <w:pStyle w:val="9"/>
              <w:spacing w:before="21" w:line="278" w:lineRule="auto"/>
              <w:ind w:left="106" w:right="22"/>
              <w:rPr>
                <w:sz w:val="21"/>
              </w:rPr>
            </w:pPr>
            <w:r>
              <w:rPr>
                <w:sz w:val="21"/>
              </w:rPr>
              <w:t>（二）跨度 36m 及以上的钢结构安装工程， 或跨度 60m 及以上的网架和索膜结构安装工</w:t>
            </w:r>
          </w:p>
          <w:p>
            <w:pPr>
              <w:pStyle w:val="9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2" w:type="dxa"/>
          </w:tcPr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（三）人工挖孔桩工程。</w:t>
            </w:r>
          </w:p>
        </w:tc>
        <w:tc>
          <w:tcPr>
            <w:tcW w:w="4238" w:type="dxa"/>
          </w:tcPr>
          <w:p>
            <w:pPr>
              <w:pStyle w:val="9"/>
              <w:spacing w:before="117" w:line="278" w:lineRule="auto"/>
              <w:ind w:left="106" w:right="22"/>
              <w:rPr>
                <w:sz w:val="21"/>
              </w:rPr>
            </w:pPr>
            <w:r>
              <w:rPr>
                <w:sz w:val="21"/>
              </w:rPr>
              <w:t xml:space="preserve">（三）开挖深度 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m 及以上的人工挖孔桩工程。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2" w:type="dxa"/>
          </w:tcPr>
          <w:p>
            <w:pPr>
              <w:pStyle w:val="9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（四）水下作业工程。</w:t>
            </w:r>
          </w:p>
        </w:tc>
        <w:tc>
          <w:tcPr>
            <w:tcW w:w="4238" w:type="dxa"/>
          </w:tcPr>
          <w:p>
            <w:pPr>
              <w:pStyle w:val="9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（四）水下作业工程。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2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（五）装配式建筑混凝土预制构件安装工程</w:t>
            </w:r>
          </w:p>
        </w:tc>
        <w:tc>
          <w:tcPr>
            <w:tcW w:w="4238" w:type="dxa"/>
          </w:tcPr>
          <w:p>
            <w:pPr>
              <w:pStyle w:val="9"/>
              <w:spacing w:before="178" w:line="278" w:lineRule="auto"/>
              <w:ind w:left="106" w:right="97"/>
              <w:rPr>
                <w:sz w:val="21"/>
              </w:rPr>
            </w:pPr>
            <w:r>
              <w:rPr>
                <w:sz w:val="21"/>
              </w:rPr>
              <w:t>（五）重量 1000kN 及以上的大型结构整体顶升、平移、转体等施工工艺。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2" w:type="dxa"/>
          </w:tcPr>
          <w:p>
            <w:pPr>
              <w:pStyle w:val="9"/>
              <w:spacing w:before="177" w:line="278" w:lineRule="auto"/>
              <w:ind w:left="107" w:right="8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eastAsia="zh-CN"/>
              </w:rPr>
              <w:t>六</w:t>
            </w:r>
            <w:r>
              <w:rPr>
                <w:sz w:val="21"/>
              </w:rPr>
              <w:t>）采用新技术、新工艺、新材料、新设备可能影响工程施工安全，尚无国家、行业及地方技术标准的分部分项工程。</w:t>
            </w:r>
          </w:p>
        </w:tc>
        <w:tc>
          <w:tcPr>
            <w:tcW w:w="4238" w:type="dxa"/>
          </w:tcPr>
          <w:p>
            <w:pPr>
              <w:pStyle w:val="9"/>
              <w:spacing w:before="178" w:line="278" w:lineRule="auto"/>
              <w:ind w:right="9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  <w:lang w:eastAsia="zh-CN"/>
              </w:rPr>
              <w:t>六</w:t>
            </w:r>
            <w:r>
              <w:rPr>
                <w:sz w:val="21"/>
              </w:rPr>
              <w:t>）采用新技术、新工艺、新材料、新设备可能影响工程施工安全，尚无国家、行业及地方技术标准的分部分项工程。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2" w:type="dxa"/>
            <w:vAlign w:val="center"/>
          </w:tcPr>
          <w:p>
            <w:pPr>
              <w:pStyle w:val="9"/>
              <w:ind w:left="10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（七）活动板房安装和拆除</w:t>
            </w:r>
          </w:p>
        </w:tc>
        <w:tc>
          <w:tcPr>
            <w:tcW w:w="4238" w:type="dxa"/>
          </w:tcPr>
          <w:p>
            <w:pPr>
              <w:pStyle w:val="9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b w:val="0"/>
          <w:bCs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jExZmVmMjgxZDQxYjYzOTUzNjgxOWI0ZjI0NDUifQ=="/>
  </w:docVars>
  <w:rsids>
    <w:rsidRoot w:val="730B0AF8"/>
    <w:rsid w:val="052467AF"/>
    <w:rsid w:val="05F27289"/>
    <w:rsid w:val="0DF64C7B"/>
    <w:rsid w:val="20E47216"/>
    <w:rsid w:val="31F03DCD"/>
    <w:rsid w:val="3DF91B19"/>
    <w:rsid w:val="487E6429"/>
    <w:rsid w:val="48FE6FF3"/>
    <w:rsid w:val="491A27B1"/>
    <w:rsid w:val="4BC93769"/>
    <w:rsid w:val="4DFE4281"/>
    <w:rsid w:val="55F26E90"/>
    <w:rsid w:val="71AD3F09"/>
    <w:rsid w:val="730B0AF8"/>
    <w:rsid w:val="77556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18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587" w:right="591"/>
      <w:jc w:val="center"/>
      <w:outlineLvl w:val="2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2851</Words>
  <Characters>2932</Characters>
  <Lines>0</Lines>
  <Paragraphs>0</Paragraphs>
  <TotalTime>24</TotalTime>
  <ScaleCrop>false</ScaleCrop>
  <LinksUpToDate>false</LinksUpToDate>
  <CharactersWithSpaces>2992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2022-11-08T13:18:00Z</dcterms:created>
  <dc:creator>张三</dc:creator>
  <cp:lastModifiedBy>＜浮华乱了谁＞㏑</cp:lastModifiedBy>
  <dcterms:modified xsi:type="dcterms:W3CDTF">2022-11-13T02:55:25Z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1951E814260749FA82E54B5FA1EB5953</vt:lpwstr>
  </property>
</Properties>
</file>